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465"/>
        <w:gridCol w:w="649"/>
        <w:gridCol w:w="22"/>
        <w:gridCol w:w="813"/>
        <w:gridCol w:w="42"/>
        <w:gridCol w:w="1117"/>
        <w:gridCol w:w="2870"/>
        <w:gridCol w:w="3420"/>
        <w:gridCol w:w="4527"/>
      </w:tblGrid>
      <w:tr w:rsidR="00625AC7" w:rsidRPr="009B1548" w:rsidTr="00994BCD">
        <w:trPr>
          <w:trHeight w:val="19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B83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11" w:rsidRPr="009B1548" w:rsidRDefault="00A46111" w:rsidP="00B83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Ek-2</w:t>
            </w:r>
          </w:p>
        </w:tc>
      </w:tr>
      <w:tr w:rsidR="00A46111" w:rsidRPr="009B1548" w:rsidTr="00DC3387">
        <w:trPr>
          <w:trHeight w:val="253"/>
        </w:trPr>
        <w:tc>
          <w:tcPr>
            <w:tcW w:w="1570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9D1A9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9D1A9"/>
                <w:sz w:val="28"/>
                <w:szCs w:val="28"/>
                <w:lang w:eastAsia="tr-TR"/>
              </w:rPr>
              <w:t>GİRESUN ÜNİVERSİTESİ HASSAS GÖREV ENVANTERİ</w:t>
            </w:r>
          </w:p>
        </w:tc>
      </w:tr>
      <w:tr w:rsidR="00A46111" w:rsidRPr="009B1548" w:rsidTr="00BA71B2">
        <w:trPr>
          <w:trHeight w:val="295"/>
        </w:trPr>
        <w:tc>
          <w:tcPr>
            <w:tcW w:w="2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12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11" w:rsidRPr="009B1548" w:rsidRDefault="001031FB" w:rsidP="00801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ŞEBİNKARAHİSAR SAĞLIK HİZMETLERİ MESLEK YÜKSEKOKULU</w:t>
            </w:r>
            <w:r w:rsidR="00A46111"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F56CF" w:rsidRPr="009B1548" w:rsidTr="005F56CF">
        <w:trPr>
          <w:trHeight w:val="61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Sıra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no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Yürütüldüğü Birim*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Sorumlu Birim Amiri**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Riskler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 xml:space="preserve">(Görevin Yerine Getirilmemesinin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Sonuçları)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A46111" w:rsidRPr="009B1548" w:rsidRDefault="00A46111" w:rsidP="00B83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Prosedürler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 xml:space="preserve">(Alınması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Kontroller)</w:t>
            </w:r>
          </w:p>
        </w:tc>
      </w:tr>
      <w:tr w:rsidR="00625AC7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25AC7" w:rsidRPr="009B1548" w:rsidRDefault="00625AC7" w:rsidP="00625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AC7" w:rsidRPr="009B1548" w:rsidRDefault="00625AC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25AC7" w:rsidRPr="009B1548" w:rsidRDefault="00625AC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DC3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Default="001031FB" w:rsidP="00DC3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</w:t>
            </w:r>
            <w:r w:rsidR="0062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.Sek</w:t>
            </w:r>
            <w:proofErr w:type="gramEnd"/>
            <w:r w:rsidR="00625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625AC7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C7" w:rsidRPr="009B1548" w:rsidRDefault="00625AC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C3387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Muafiyetler ve İntibaklar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DC3387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DC3387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DC3387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DC3387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DC3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İşleri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DC3387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87" w:rsidRPr="009B1548" w:rsidRDefault="00DC3387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BA71B2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Yazı İşleri/Evrak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BA71B2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yazışmaların zamanında cevaplanabilme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BA71B2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Gelen/Giden evrak kaydı yapmak, Evrak dağıtımını gerçekleştirmek.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A71B2" w:rsidRPr="009B1548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Default="00BA71B2" w:rsidP="00BA7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Yazı İşleri/Evrak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BA71B2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B2" w:rsidRPr="009B1548" w:rsidRDefault="00BA71B2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baz alınarak kontrolünün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sağlanması,günlü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yazıların zamanında kayda girilmesi, Gizli/Çok Gizli yazılarda gizlilik riayetine uyularak işlem tesis edilmesi.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EC565F" w:rsidRDefault="00F2648C" w:rsidP="00F2648C">
            <w:pPr>
              <w:rPr>
                <w:rFonts w:ascii="Calibri" w:hAnsi="Calibri" w:cs="Calibri"/>
                <w:bCs/>
                <w:color w:val="000000"/>
              </w:rPr>
            </w:pPr>
            <w:r w:rsidRPr="00EC565F">
              <w:rPr>
                <w:rFonts w:ascii="Calibri" w:hAnsi="Calibri" w:cs="Calibri"/>
                <w:bCs/>
                <w:color w:val="000000"/>
              </w:rPr>
              <w:t>Personel Maaş ve Özlük İşlemleri</w:t>
            </w:r>
          </w:p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Tahakkuk ve Satın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Yeni göreve başlayan personelin atamayazısı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ersonelle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ilgili bilgi değişikliklerinin ilgili birimtarafından hazırlanarak maaş tahakkuk birimine doğru ve zamanındabildirilmemesi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Personel Daire Başkanlığında özlük işleri ile ilgilenen, evrak akışını sağlayan ve Strateji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Başkanlığına gönderilen evraklar SGDB tarafındanda kontrolden geçirilerek, yersiz ödeme ve evrak üzerindeki hataları önleyici kontrol faaliyetlerinin uygulanmaya çalışılması.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Personelin maaş,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ekders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yolluk ve diğer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Birimimizdeki ön mali kontrol süreci daha etkin hale getirilerek, </w:t>
            </w:r>
            <w:proofErr w:type="spellStart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SGDB'deki</w:t>
            </w:r>
            <w:proofErr w:type="spellEnd"/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Onay Belgesinde yer alan bütçe tertibinin alımı yapılacak mal/malzem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belirlenmemesi,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Piyasa Fiyat Araştırması görevlileri ile Muayene Kabul Komisyonu görevlilerinin görevini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getirmemesi,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tutarının eksik </w:t>
            </w:r>
            <w:proofErr w:type="gramStart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yada</w:t>
            </w:r>
            <w:proofErr w:type="gramEnd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yanlış girilmesi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yada adet olarak birbirinden faklı ve eksik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9B1548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Başkanlığınca gerekli görülen evrakların ön mali kontrole tabi tutulması.</w:t>
            </w:r>
          </w:p>
        </w:tc>
      </w:tr>
      <w:tr w:rsidR="00F2648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F2648C" w:rsidRPr="009B1548" w:rsidRDefault="00F2648C" w:rsidP="00F2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F2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Tahakkuk ve Satın Alma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F2648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Pr="000D2C00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Personele ödenen yolluk avansları ile yılsonlarındaki maaş avanslarının süresin içerisinde kapatılması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8C" w:rsidRDefault="00F2648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si. Yılsonundaki ödenen maaşın takip eden yıl içerisinde mahsup döneminde kapatılması.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düzeltilmesi.Taşınır kodlarının Maliye Bakanlığı'nın Taşınır Kod Listesine göre belirlenmesi.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Sisteminde gerekli zimmet işlemleri yapılarak zimmet fişlerinin imzalı birer nüshasının saklanması.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Yönetmeliğinin ilgili hükümlerine göre yapılmamış olması.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Ambardan çıkan tüm taşınırlar için kanıtlayıcı belge düzenlenmesi.(Teslim tutanağı, Malzeme istek belgesi vs.)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 Taşınır Mal Yönetmeliğinin ilgili hükümlerine göre işlem tesis 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etmek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bulunan ve kullanımda olan taşınırların sayımlarının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77140" w:rsidRPr="009B1548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9B1548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sayımlarının Taşınır Mal Yönetmeliğinin ilgili 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577140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577140" w:rsidRPr="009B1548" w:rsidRDefault="00F72122" w:rsidP="0057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140" w:rsidRPr="00E03F19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Default="00577140" w:rsidP="005771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Taşınır Kayıt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577140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B01729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140" w:rsidRPr="00B01729" w:rsidRDefault="00577140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lisi olarak görevlendirilen personelin devir ve teslim işlemlerini tamamlamadan görevinden ayrılmasına Taşınır Mal Yönetmeliğinin ilgili hükümlerince harcama yetkilisi tarafından muvafakat/onay verilmemesi.  </w:t>
            </w:r>
          </w:p>
        </w:tc>
      </w:tr>
      <w:tr w:rsidR="00372BDF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372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175E79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Kurulu İş ve İşlemleri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2BDF" w:rsidRPr="009B1548" w:rsidRDefault="00372BDF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DC52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Kurullar(</w:t>
            </w:r>
            <w:proofErr w:type="spellStart"/>
            <w:r w:rsidR="00DC52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  <w:r w:rsidR="00175E7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Yönetim Kurulu-Disiplin Kurulu)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372BDF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175E79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Yüksekokulumuzda 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alınan/alınacak kararların zamanında işleme konulamaması</w:t>
            </w:r>
            <w:r w:rsidR="00372BD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165E43">
            <w:pPr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372BDF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372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175E79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 Yönetim Kurulu (Y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YK) İş ve İşlemleri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2BDF" w:rsidRPr="009B1548" w:rsidRDefault="00372BDF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DC52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Kurullar(</w:t>
            </w:r>
            <w:proofErr w:type="spellStart"/>
            <w:r w:rsidR="00DC52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  <w:r w:rsidR="00175E7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Yönetim Kurulu-Disiplin Kurulu)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372BDF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175E79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372BDF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372BDF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372BDF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72BDF" w:rsidRPr="009B1548" w:rsidRDefault="00B9254F" w:rsidP="00372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F" w:rsidRPr="009B1548" w:rsidRDefault="00372BDF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Disiplin Kurulu iş ve İşlemleri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72BDF" w:rsidRPr="009B1548" w:rsidRDefault="00372BDF" w:rsidP="00372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DF" w:rsidRPr="00482349" w:rsidRDefault="00372BDF" w:rsidP="00DC52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Kurullar(</w:t>
            </w:r>
            <w:proofErr w:type="spellStart"/>
            <w:r w:rsidR="00DC52E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  <w:r w:rsidR="00175E7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Yüksekokul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Yönetim Kurulu-Disiplin Kurulu)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372BDF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DF" w:rsidRPr="009B1548" w:rsidRDefault="00372BDF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E062F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23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B363B0" w:rsidP="00165E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Yüksekokulda </w:t>
            </w:r>
            <w:r w:rsidRPr="007268DF">
              <w:rPr>
                <w:rFonts w:cstheme="minorHAnsi"/>
              </w:rPr>
              <w:t>görevli</w:t>
            </w:r>
            <w:r w:rsidR="00E062FC" w:rsidRPr="007268DF">
              <w:rPr>
                <w:rFonts w:cstheme="minorHAnsi"/>
              </w:rPr>
              <w:t xml:space="preserve"> personelin özlük işlemlerini (izin, terfi, atama...) zamanında, düzenli olara</w:t>
            </w:r>
            <w:r w:rsidR="00E062FC">
              <w:rPr>
                <w:rFonts w:cstheme="minorHAnsi"/>
              </w:rPr>
              <w:t>k ve gizlilik içerisinde yapmak.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E062F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E062F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E062FC" w:rsidP="00165E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E062F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E062F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2FC" w:rsidRPr="007268DF" w:rsidRDefault="00E062FC" w:rsidP="00165E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</w:t>
            </w:r>
            <w:r w:rsidR="00B363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proofErr w:type="gramStart"/>
            <w:r w:rsidR="00842D71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 xml:space="preserve"> Yönetim</w:t>
            </w:r>
            <w:proofErr w:type="gramEnd"/>
            <w:r w:rsidRPr="007268DF">
              <w:rPr>
                <w:rFonts w:cstheme="minorHAnsi"/>
              </w:rPr>
              <w:t xml:space="preserve"> Kuruluna sunmak, kuruldan çıkacak karara göre atama teklifleri ile ilgili yazışmaları yapmak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E062F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E062FC" w:rsidRPr="009B1548" w:rsidTr="00E51F3A">
        <w:trPr>
          <w:trHeight w:val="2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062FC" w:rsidRPr="009B1548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7268DF" w:rsidRDefault="00E062FC" w:rsidP="00165E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</w:t>
            </w:r>
            <w:r>
              <w:rPr>
                <w:rFonts w:cstheme="minorHAnsi"/>
              </w:rPr>
              <w:lastRenderedPageBreak/>
              <w:t xml:space="preserve">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Personel İşleri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 </w:t>
            </w:r>
          </w:p>
          <w:p w:rsidR="001031FB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Yüksekokul.Sek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  <w:p w:rsidR="00E062FC" w:rsidRPr="009B1548" w:rsidRDefault="001031FB" w:rsidP="00103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Ünal ŞENTÜRK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ibar kaybı, sorumlu personel için cezai işlem.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2FC" w:rsidRPr="009B1548" w:rsidRDefault="00E062FC" w:rsidP="00165E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E062FC" w:rsidRPr="009B1548" w:rsidTr="00DC3387">
        <w:trPr>
          <w:trHeight w:val="1160"/>
        </w:trPr>
        <w:tc>
          <w:tcPr>
            <w:tcW w:w="15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ONAYLAYAN: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Harcama Yetkilisi</w:t>
            </w:r>
          </w:p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062FC" w:rsidRDefault="00E062FC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031FB" w:rsidRDefault="001031FB" w:rsidP="00103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Aşkın TEKİN</w:t>
            </w:r>
          </w:p>
          <w:p w:rsidR="00E062FC" w:rsidRPr="009B1548" w:rsidRDefault="001031FB" w:rsidP="00E0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Müdür</w:t>
            </w:r>
          </w:p>
        </w:tc>
      </w:tr>
      <w:tr w:rsidR="00E062FC" w:rsidRPr="009B1548" w:rsidTr="00BA71B2">
        <w:trPr>
          <w:trHeight w:val="54"/>
        </w:trPr>
        <w:tc>
          <w:tcPr>
            <w:tcW w:w="111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2FC" w:rsidRPr="00DC3387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* Bu bölüme, … Alt Birim/Bölüm/Anabilim Dalı/Şube Müdürlüğü yazılacaktır.</w:t>
            </w:r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** Bu </w:t>
            </w:r>
            <w:proofErr w:type="gramStart"/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bölüme …</w:t>
            </w:r>
            <w:proofErr w:type="gramEnd"/>
            <w:r w:rsidRPr="00DC33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Alt Birim/Bölüm/Anabilim Dalı/ Birim Amiri/ ŞubeMüdürü yazılacaktır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9B1548" w:rsidTr="00BA71B2">
        <w:trPr>
          <w:trHeight w:val="195"/>
        </w:trPr>
        <w:tc>
          <w:tcPr>
            <w:tcW w:w="111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9B1548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62FC" w:rsidRPr="008770BF" w:rsidTr="00BA71B2">
        <w:trPr>
          <w:trHeight w:val="183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062FC" w:rsidRPr="008770BF" w:rsidTr="00BA71B2">
        <w:trPr>
          <w:trHeight w:val="183"/>
        </w:trPr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2FC" w:rsidRPr="008770BF" w:rsidRDefault="00E062FC" w:rsidP="00E06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A46111" w:rsidRDefault="00A46111" w:rsidP="00DC3387"/>
    <w:sectPr w:rsidR="00A46111" w:rsidSect="00A461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EF7"/>
    <w:rsid w:val="000D1EF7"/>
    <w:rsid w:val="000D26D9"/>
    <w:rsid w:val="001031FB"/>
    <w:rsid w:val="00165E43"/>
    <w:rsid w:val="00175E79"/>
    <w:rsid w:val="0032140C"/>
    <w:rsid w:val="00372BDF"/>
    <w:rsid w:val="00577140"/>
    <w:rsid w:val="005F112D"/>
    <w:rsid w:val="005F56CF"/>
    <w:rsid w:val="00625AC7"/>
    <w:rsid w:val="0064615D"/>
    <w:rsid w:val="006745F6"/>
    <w:rsid w:val="007E00C9"/>
    <w:rsid w:val="008018F0"/>
    <w:rsid w:val="00842D71"/>
    <w:rsid w:val="00994BCD"/>
    <w:rsid w:val="00A46111"/>
    <w:rsid w:val="00A91F75"/>
    <w:rsid w:val="00B00408"/>
    <w:rsid w:val="00B363B0"/>
    <w:rsid w:val="00B9254F"/>
    <w:rsid w:val="00BA71B2"/>
    <w:rsid w:val="00BC0265"/>
    <w:rsid w:val="00C43463"/>
    <w:rsid w:val="00C565A0"/>
    <w:rsid w:val="00DC3387"/>
    <w:rsid w:val="00DC52E7"/>
    <w:rsid w:val="00DF1E68"/>
    <w:rsid w:val="00E062FC"/>
    <w:rsid w:val="00E51F3A"/>
    <w:rsid w:val="00F2648C"/>
    <w:rsid w:val="00F72122"/>
    <w:rsid w:val="00FF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C2797-6AB3-434F-9507-30E7147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kskn</dc:creator>
  <cp:keywords/>
  <dc:description/>
  <cp:lastModifiedBy>Ayniyat Ahmet</cp:lastModifiedBy>
  <cp:revision>29</cp:revision>
  <dcterms:created xsi:type="dcterms:W3CDTF">2022-09-21T06:04:00Z</dcterms:created>
  <dcterms:modified xsi:type="dcterms:W3CDTF">2025-01-08T11:50:00Z</dcterms:modified>
</cp:coreProperties>
</file>